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F15ED8" w:rsidRPr="00F15ED8">
        <w:rPr>
          <w:bCs/>
          <w:sz w:val="26"/>
          <w:szCs w:val="26"/>
        </w:rPr>
        <w:t>27</w:t>
      </w:r>
      <w:r w:rsidR="004C70AA" w:rsidRPr="00F15ED8">
        <w:rPr>
          <w:bCs/>
          <w:sz w:val="26"/>
          <w:szCs w:val="26"/>
        </w:rPr>
        <w:t xml:space="preserve">» </w:t>
      </w:r>
      <w:r w:rsidR="00F15ED8" w:rsidRPr="00F15ED8">
        <w:rPr>
          <w:bCs/>
          <w:sz w:val="26"/>
          <w:szCs w:val="26"/>
        </w:rPr>
        <w:t xml:space="preserve">марта </w:t>
      </w:r>
      <w:r w:rsidR="004C70AA" w:rsidRPr="00F15ED8">
        <w:rPr>
          <w:bCs/>
          <w:sz w:val="26"/>
          <w:szCs w:val="26"/>
        </w:rPr>
        <w:t>202</w:t>
      </w:r>
      <w:r w:rsidR="00F15ED8" w:rsidRPr="00F15ED8">
        <w:rPr>
          <w:bCs/>
          <w:sz w:val="26"/>
          <w:szCs w:val="26"/>
        </w:rPr>
        <w:t>3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161BA1" w:rsidRPr="00F15ED8">
        <w:rPr>
          <w:sz w:val="26"/>
          <w:szCs w:val="26"/>
        </w:rPr>
        <w:t xml:space="preserve">годовым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363"/>
        <w:gridCol w:w="1240"/>
      </w:tblGrid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D943C1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D943C1" w:rsidRPr="004C4D31" w:rsidTr="00205331">
        <w:trPr>
          <w:trHeight w:val="355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Утвердить отчет директора о финансово-хозяйственной деятельности за 2022 год и основные направления деятельности Общества на 2023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43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Утвердить отчет наблюдательного совета Общества о работе за 2022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4C4D31">
            <w:pPr>
              <w:rPr>
                <w:i/>
              </w:rPr>
            </w:pPr>
            <w:r w:rsidRPr="004C4D31">
              <w:t>Работу ревизионной комиссии за 2022 год признать удовлетворительной.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Утвердить бухгалтерскую (финансовую) годовую отчетность за 2022 год и приложения к ней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0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Утвердить порядок распределения прибыли за 2022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25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Утвердить дату закрытия реестра для выплаты дивидендов за 2022 год – 1 февраля 2023 года.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Утвердить размер начисленных дивидендов на одну акцию за 2022 год – 1 руб. 50 коп.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705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4C4D31" w:rsidRDefault="005F7DA9" w:rsidP="004C4D31">
            <w:r w:rsidRPr="004C4D31">
              <w:t>Установить период выплаты дивидендов:</w:t>
            </w:r>
          </w:p>
          <w:p w:rsidR="005F7DA9" w:rsidRPr="004C4D31" w:rsidRDefault="00D943C1" w:rsidP="00D943C1">
            <w:pPr>
              <w:jc w:val="both"/>
            </w:pPr>
            <w:r>
              <w:t>-</w:t>
            </w:r>
            <w:r w:rsidR="005F7DA9" w:rsidRPr="004C4D31">
              <w:t xml:space="preserve">на акции, принадлежащие </w:t>
            </w:r>
            <w:proofErr w:type="spellStart"/>
            <w:r w:rsidR="005F7DA9" w:rsidRPr="004C4D31">
              <w:t>Столинскому</w:t>
            </w:r>
            <w:proofErr w:type="spellEnd"/>
            <w:r w:rsidR="005F7DA9" w:rsidRPr="004C4D31">
              <w:t xml:space="preserve"> районному исполнительному комитету (государству) с 01 апреля 2023 по 22 апреля 2023 года включительно;</w:t>
            </w:r>
          </w:p>
          <w:p w:rsidR="00F15ED8" w:rsidRPr="004C4D31" w:rsidRDefault="00D943C1" w:rsidP="00D943C1">
            <w:pPr>
              <w:jc w:val="both"/>
            </w:pPr>
            <w:r>
              <w:t>-</w:t>
            </w:r>
            <w:r w:rsidR="005F7DA9" w:rsidRPr="004C4D31">
              <w:t xml:space="preserve">на </w:t>
            </w:r>
            <w:proofErr w:type="gramStart"/>
            <w:r w:rsidR="005F7DA9" w:rsidRPr="004C4D31">
              <w:t>акции</w:t>
            </w:r>
            <w:proofErr w:type="gramEnd"/>
            <w:r w:rsidR="005F7DA9" w:rsidRPr="004C4D31">
              <w:t xml:space="preserve"> принадлежащие физическим лицам с 01 мая 2023 года по 30 июня 2023 года включительно.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474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4C4D31" w:rsidRDefault="005F7DA9" w:rsidP="004C4D31">
            <w:r w:rsidRPr="004C4D31">
              <w:t>Установить следующий порядок выплаты дивидендов</w:t>
            </w:r>
          </w:p>
          <w:p w:rsidR="005F7DA9" w:rsidRPr="004C4D31" w:rsidRDefault="005F7DA9" w:rsidP="004C4D31">
            <w:r w:rsidRPr="004C4D31">
              <w:t>-акционеру, юридическому лицу – путем перечисления на расчетный счет;</w:t>
            </w:r>
          </w:p>
          <w:p w:rsidR="00F15ED8" w:rsidRPr="004C4D31" w:rsidRDefault="005F7DA9" w:rsidP="004C4D31">
            <w:r w:rsidRPr="004C4D31">
              <w:t>-акционерам, физическим лицам – в кассе Общества.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350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Начисленные дивиденды за 2023 г. выплачивать по итогам года после утверждения собранием акционеров размера дивидендов на одну акцию.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18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4C4D31">
            <w:r w:rsidRPr="004C4D31">
              <w:t>Утвердить план распределения прибыли на 2023 год и первый квартал 2024 года: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71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4C4D31" w:rsidRDefault="005F7DA9" w:rsidP="004C4D31">
            <w:r w:rsidRPr="004C4D31">
              <w:t>Избрать в состав наблюдательного совета:</w:t>
            </w:r>
          </w:p>
          <w:p w:rsidR="005F7DA9" w:rsidRPr="004C4D31" w:rsidRDefault="00D943C1" w:rsidP="004C4D31">
            <w:r>
              <w:t>1.</w:t>
            </w:r>
            <w:r w:rsidR="005F7DA9" w:rsidRPr="004C4D31">
              <w:t xml:space="preserve">Гаврилкович Лидия Тимофеевна </w:t>
            </w:r>
          </w:p>
          <w:p w:rsidR="005F7DA9" w:rsidRPr="004C4D31" w:rsidRDefault="00D943C1" w:rsidP="004C4D31">
            <w:r>
              <w:t>2.</w:t>
            </w:r>
            <w:r w:rsidR="005F7DA9" w:rsidRPr="004C4D31">
              <w:t xml:space="preserve">Пашкевич Федор Владимирович </w:t>
            </w:r>
          </w:p>
          <w:p w:rsidR="005F7DA9" w:rsidRPr="004C4D31" w:rsidRDefault="00D943C1" w:rsidP="004C4D31">
            <w:r>
              <w:t>3.</w:t>
            </w:r>
            <w:r w:rsidR="005F7DA9" w:rsidRPr="004C4D31">
              <w:t xml:space="preserve">Пытель Вадим Петрович </w:t>
            </w:r>
          </w:p>
          <w:p w:rsidR="00F15ED8" w:rsidRPr="004C4D31" w:rsidRDefault="00D943C1" w:rsidP="004C4D31">
            <w:r>
              <w:t>4.</w:t>
            </w:r>
            <w:r w:rsidR="005F7DA9" w:rsidRPr="004C4D31">
              <w:t>Стадник Иван Михайлович</w:t>
            </w:r>
            <w:r w:rsidR="005F7DA9" w:rsidRPr="004C4D31">
              <w:rPr>
                <w:u w:val="single"/>
              </w:rPr>
              <w:t xml:space="preserve"> </w:t>
            </w:r>
          </w:p>
          <w:p w:rsidR="005F7DA9" w:rsidRPr="004C4D31" w:rsidRDefault="00D943C1" w:rsidP="004C4D31">
            <w:r>
              <w:t xml:space="preserve">Представитель государства – </w:t>
            </w:r>
            <w:r w:rsidR="005F7DA9" w:rsidRPr="004C4D31">
              <w:t>Крылова Земфира Сергеевна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705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7.2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C4D31" w:rsidRPr="004C4D31" w:rsidRDefault="004C4D31" w:rsidP="004C4D31">
            <w:r w:rsidRPr="004C4D31">
              <w:t>Избрать ревизионную комиссию в составе 5 человек:</w:t>
            </w:r>
          </w:p>
          <w:p w:rsidR="004C4D31" w:rsidRPr="004C4D31" w:rsidRDefault="004C4D31" w:rsidP="004C4D31">
            <w:r w:rsidRPr="004C4D31">
              <w:t xml:space="preserve">1.Торгоня Ольга </w:t>
            </w:r>
            <w:proofErr w:type="spellStart"/>
            <w:r w:rsidRPr="004C4D31">
              <w:t>Петрновна</w:t>
            </w:r>
            <w:proofErr w:type="spellEnd"/>
          </w:p>
          <w:p w:rsidR="004C4D31" w:rsidRPr="004C4D31" w:rsidRDefault="004C4D31" w:rsidP="004C4D31">
            <w:pPr>
              <w:rPr>
                <w:b/>
              </w:rPr>
            </w:pPr>
            <w:r w:rsidRPr="004C4D31">
              <w:t>2.Добринец Галина Александровна</w:t>
            </w:r>
          </w:p>
          <w:p w:rsidR="004C4D31" w:rsidRPr="004C4D31" w:rsidRDefault="004C4D31" w:rsidP="004C4D31">
            <w:r w:rsidRPr="004C4D31">
              <w:t xml:space="preserve">3.Мамайко Тамара </w:t>
            </w:r>
            <w:proofErr w:type="spellStart"/>
            <w:r w:rsidRPr="004C4D31">
              <w:t>Мефодьевна</w:t>
            </w:r>
            <w:proofErr w:type="spellEnd"/>
          </w:p>
          <w:p w:rsidR="004C4D31" w:rsidRPr="004C4D31" w:rsidRDefault="004C4D31" w:rsidP="004C4D31">
            <w:r w:rsidRPr="004C4D31">
              <w:t xml:space="preserve">4.Гуща Ольга </w:t>
            </w:r>
            <w:proofErr w:type="spellStart"/>
            <w:r w:rsidRPr="004C4D31">
              <w:t>Стахеевна</w:t>
            </w:r>
            <w:proofErr w:type="spellEnd"/>
          </w:p>
          <w:p w:rsidR="00F15ED8" w:rsidRPr="004C4D31" w:rsidRDefault="004C4D31" w:rsidP="004C4D31">
            <w:pPr>
              <w:rPr>
                <w:u w:val="single"/>
              </w:rPr>
            </w:pPr>
            <w:r w:rsidRPr="004C4D31">
              <w:t>5.Мальцевич Станислав Павлович</w:t>
            </w:r>
            <w:r w:rsidRPr="004C4D31">
              <w:rPr>
                <w:u w:val="single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110"/>
          <w:jc w:val="center"/>
        </w:trPr>
        <w:tc>
          <w:tcPr>
            <w:tcW w:w="534" w:type="dxa"/>
            <w:vAlign w:val="center"/>
          </w:tcPr>
          <w:p w:rsidR="00F15ED8" w:rsidRPr="004C4D31" w:rsidRDefault="00D943C1" w:rsidP="004C4D31">
            <w: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C4D31" w:rsidRPr="004C4D31" w:rsidRDefault="004C4D31" w:rsidP="004C4D31">
            <w:r w:rsidRPr="004C4D31">
              <w:t>Установить для членов наблюдательного совета, ревизионной комиссии и  специалисту по ценным бумагам  вознаграждение за исполнение ими обязанностей в следующих размерах:</w:t>
            </w:r>
          </w:p>
          <w:p w:rsidR="004C4D31" w:rsidRPr="004C4D31" w:rsidRDefault="004C4D31" w:rsidP="004C4D31">
            <w:r w:rsidRPr="004C4D31">
              <w:t>председателю наблюдательного совета - 4 базовые величины в квартал;</w:t>
            </w:r>
          </w:p>
          <w:p w:rsidR="004C4D31" w:rsidRPr="004C4D31" w:rsidRDefault="004C4D31" w:rsidP="004C4D31">
            <w:r w:rsidRPr="004C4D31">
              <w:t>секретарю наблюдательного совета – 4 базовые величины в квартал;</w:t>
            </w:r>
          </w:p>
          <w:p w:rsidR="004C4D31" w:rsidRPr="004C4D31" w:rsidRDefault="004C4D31" w:rsidP="004C4D31">
            <w:r w:rsidRPr="004C4D31">
              <w:t>членам наблюдательного совета – 2 базовые величины в квартал;</w:t>
            </w:r>
          </w:p>
          <w:p w:rsidR="004C4D31" w:rsidRPr="004C4D31" w:rsidRDefault="004C4D31" w:rsidP="004C4D31">
            <w:r w:rsidRPr="004C4D31">
              <w:t>председателю ревизионной комиссии – 2 базовые величины в квартал;</w:t>
            </w:r>
          </w:p>
          <w:p w:rsidR="004C4D31" w:rsidRPr="004C4D31" w:rsidRDefault="004C4D31" w:rsidP="004C4D31">
            <w:r w:rsidRPr="004C4D31">
              <w:t>членам ревизионной комиссии  - 1 базовую величину в квартал,</w:t>
            </w:r>
          </w:p>
          <w:p w:rsidR="004C4D31" w:rsidRPr="004C4D31" w:rsidRDefault="004C4D31" w:rsidP="004C4D31">
            <w:r w:rsidRPr="004C4D31">
              <w:t>специалисту по ценным бумагам - 1 базовую величину в квартал.</w:t>
            </w:r>
          </w:p>
          <w:p w:rsidR="00F15ED8" w:rsidRPr="004C4D31" w:rsidRDefault="004C4D31" w:rsidP="004C4D31">
            <w:proofErr w:type="gramStart"/>
            <w:r w:rsidRPr="004C4D31">
              <w:lastRenderedPageBreak/>
              <w:t>Указанные вознаграждения выплачиваются при наличии прибыли, положительной рентабельности и по представлениям председателей наблюдательного совета и ревизионной комиссии при условии непосредственного участия членов наблюдательного совета в заседаниях наблюдательного совета, собраний и в подготовке решений,  членов ревизионной комиссии – в проверках после составления заключения по результатам проведенной ревизии или проверки, специалиста по ценным бумагам – за сдачу отчета.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lastRenderedPageBreak/>
              <w:t>Принято</w:t>
            </w:r>
          </w:p>
        </w:tc>
      </w:tr>
      <w:tr w:rsidR="00D943C1" w:rsidRPr="004C4D31" w:rsidTr="00205331">
        <w:trPr>
          <w:trHeight w:val="681"/>
          <w:jc w:val="center"/>
        </w:trPr>
        <w:tc>
          <w:tcPr>
            <w:tcW w:w="534" w:type="dxa"/>
            <w:vAlign w:val="center"/>
          </w:tcPr>
          <w:p w:rsidR="00F15ED8" w:rsidRPr="004C4D31" w:rsidRDefault="004C4D31" w:rsidP="004C4D31">
            <w:r w:rsidRPr="004C4D31">
              <w:lastRenderedPageBreak/>
              <w:t>9.1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4C4D31" w:rsidP="004C4D31">
            <w:r w:rsidRPr="004C4D31">
              <w:t>Дать согласие Грибу Артему Павловичу на заключение договора перевода долга по погашению льготного кредита, выданному ОАО «</w:t>
            </w:r>
            <w:proofErr w:type="spellStart"/>
            <w:r w:rsidRPr="004C4D31">
              <w:t>Белагропромбанк</w:t>
            </w:r>
            <w:proofErr w:type="spellEnd"/>
            <w:r w:rsidRPr="004C4D31">
              <w:t>» СПК «</w:t>
            </w:r>
            <w:proofErr w:type="spellStart"/>
            <w:r w:rsidRPr="004C4D31">
              <w:t>Полесская</w:t>
            </w:r>
            <w:proofErr w:type="spellEnd"/>
            <w:r w:rsidRPr="004C4D31">
              <w:t xml:space="preserve"> нива» на строительство дома по адресу: Брестская область, </w:t>
            </w:r>
            <w:proofErr w:type="spellStart"/>
            <w:r w:rsidRPr="004C4D31">
              <w:t>Столинский</w:t>
            </w:r>
            <w:proofErr w:type="spellEnd"/>
            <w:r w:rsidRPr="004C4D31">
              <w:t xml:space="preserve"> район, </w:t>
            </w:r>
            <w:proofErr w:type="spellStart"/>
            <w:r w:rsidRPr="004C4D31">
              <w:t>аг</w:t>
            </w:r>
            <w:proofErr w:type="spellEnd"/>
            <w:r w:rsidRPr="004C4D31">
              <w:t xml:space="preserve">. </w:t>
            </w:r>
            <w:proofErr w:type="spellStart"/>
            <w:r w:rsidRPr="004C4D31">
              <w:t>Ремель</w:t>
            </w:r>
            <w:proofErr w:type="spellEnd"/>
            <w:r w:rsidRPr="004C4D31">
              <w:t xml:space="preserve">, ул. В. </w:t>
            </w:r>
            <w:proofErr w:type="spellStart"/>
            <w:r w:rsidRPr="004C4D31">
              <w:t>Уроднича</w:t>
            </w:r>
            <w:proofErr w:type="spellEnd"/>
            <w:r w:rsidRPr="004C4D31">
              <w:t>, д. 25 по кредитному договору № 651 от 25.08.2018 года с последующей передачей жилого дома в собственность.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338"/>
          <w:jc w:val="center"/>
        </w:trPr>
        <w:tc>
          <w:tcPr>
            <w:tcW w:w="534" w:type="dxa"/>
            <w:vAlign w:val="center"/>
          </w:tcPr>
          <w:p w:rsidR="00F15ED8" w:rsidRPr="004C4D31" w:rsidRDefault="004C4D31" w:rsidP="004C4D31">
            <w:r w:rsidRPr="004C4D31">
              <w:t>9.2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4C4D31" w:rsidP="004C4D31">
            <w:r w:rsidRPr="004C4D31">
              <w:t xml:space="preserve">Дать согласие на продажу в собственность Грибу Артему Павловичу жилой дом № 25 (двадцать пять), расположенный по ул. В. </w:t>
            </w:r>
            <w:proofErr w:type="spellStart"/>
            <w:r w:rsidRPr="004C4D31">
              <w:t>Уроднича</w:t>
            </w:r>
            <w:proofErr w:type="spellEnd"/>
            <w:r w:rsidRPr="004C4D31">
              <w:t xml:space="preserve">, </w:t>
            </w:r>
            <w:proofErr w:type="gramStart"/>
            <w:r w:rsidRPr="004C4D31">
              <w:t xml:space="preserve">в </w:t>
            </w:r>
            <w:proofErr w:type="spellStart"/>
            <w:r w:rsidRPr="004C4D31">
              <w:t>аг</w:t>
            </w:r>
            <w:proofErr w:type="spellEnd"/>
            <w:proofErr w:type="gramEnd"/>
            <w:r w:rsidRPr="004C4D31">
              <w:t xml:space="preserve">. </w:t>
            </w:r>
            <w:proofErr w:type="spellStart"/>
            <w:r w:rsidRPr="004C4D31">
              <w:t>Ремель</w:t>
            </w:r>
            <w:proofErr w:type="spellEnd"/>
            <w:r w:rsidRPr="004C4D31">
              <w:t xml:space="preserve">, </w:t>
            </w:r>
            <w:proofErr w:type="spellStart"/>
            <w:r w:rsidRPr="004C4D31">
              <w:t>Столинского</w:t>
            </w:r>
            <w:proofErr w:type="spellEnd"/>
            <w:r w:rsidRPr="004C4D31">
              <w:t xml:space="preserve"> района, Брестской области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456"/>
          <w:jc w:val="center"/>
        </w:trPr>
        <w:tc>
          <w:tcPr>
            <w:tcW w:w="534" w:type="dxa"/>
            <w:vAlign w:val="center"/>
          </w:tcPr>
          <w:p w:rsidR="00F15ED8" w:rsidRPr="004C4D31" w:rsidRDefault="004C4D31" w:rsidP="004C4D31">
            <w:r w:rsidRPr="004C4D31">
              <w:t>9.3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4C4D31" w:rsidP="004C4D31">
            <w:r w:rsidRPr="004C4D31">
              <w:t xml:space="preserve">Все условия договора перевода долга по погашению льготного кредита, а также условия продажи жилого дома по адресу: Брестская область, </w:t>
            </w:r>
            <w:proofErr w:type="spellStart"/>
            <w:r w:rsidRPr="004C4D31">
              <w:t>Столинский</w:t>
            </w:r>
            <w:proofErr w:type="spellEnd"/>
            <w:r w:rsidRPr="004C4D31">
              <w:t xml:space="preserve"> район, </w:t>
            </w:r>
            <w:proofErr w:type="spellStart"/>
            <w:r w:rsidRPr="004C4D31">
              <w:t>аг</w:t>
            </w:r>
            <w:proofErr w:type="spellEnd"/>
            <w:r w:rsidRPr="004C4D31">
              <w:t xml:space="preserve">. </w:t>
            </w:r>
            <w:proofErr w:type="spellStart"/>
            <w:r w:rsidRPr="004C4D31">
              <w:t>Ремель</w:t>
            </w:r>
            <w:proofErr w:type="spellEnd"/>
            <w:r w:rsidRPr="004C4D31">
              <w:t xml:space="preserve">, ул. В. </w:t>
            </w:r>
            <w:proofErr w:type="spellStart"/>
            <w:r w:rsidRPr="004C4D31">
              <w:t>Уроднича</w:t>
            </w:r>
            <w:proofErr w:type="spellEnd"/>
            <w:r w:rsidRPr="004C4D31">
              <w:t>, д. 25 рассмотреть на наблюдательном совете ОАО «</w:t>
            </w:r>
            <w:proofErr w:type="spellStart"/>
            <w:r w:rsidRPr="004C4D31">
              <w:t>Полесская</w:t>
            </w:r>
            <w:proofErr w:type="spellEnd"/>
            <w:r w:rsidRPr="004C4D31">
              <w:t xml:space="preserve"> нива».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</w:tbl>
    <w:p w:rsidR="004C4D31" w:rsidRDefault="004C4D31" w:rsidP="004C4D31">
      <w:pPr>
        <w:tabs>
          <w:tab w:val="left" w:pos="1134"/>
        </w:tabs>
        <w:ind w:left="1429"/>
        <w:jc w:val="right"/>
      </w:pPr>
    </w:p>
    <w:p w:rsidR="004C4D31" w:rsidRDefault="004C4D31" w:rsidP="004C4D31">
      <w:pPr>
        <w:tabs>
          <w:tab w:val="left" w:pos="1134"/>
        </w:tabs>
        <w:ind w:left="1429"/>
        <w:jc w:val="right"/>
      </w:pPr>
    </w:p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6"/>
  </w:num>
  <w:num w:numId="5">
    <w:abstractNumId w:val="13"/>
  </w:num>
  <w:num w:numId="6">
    <w:abstractNumId w:val="27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23"/>
  </w:num>
  <w:num w:numId="14">
    <w:abstractNumId w:val="20"/>
  </w:num>
  <w:num w:numId="15">
    <w:abstractNumId w:val="16"/>
  </w:num>
  <w:num w:numId="16">
    <w:abstractNumId w:val="7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14"/>
  </w:num>
  <w:num w:numId="23">
    <w:abstractNumId w:val="1"/>
  </w:num>
  <w:num w:numId="24">
    <w:abstractNumId w:val="5"/>
  </w:num>
  <w:num w:numId="25">
    <w:abstractNumId w:val="21"/>
  </w:num>
  <w:num w:numId="26">
    <w:abstractNumId w:val="1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DNA7 X86</cp:lastModifiedBy>
  <cp:revision>4</cp:revision>
  <cp:lastPrinted>2022-01-26T09:33:00Z</cp:lastPrinted>
  <dcterms:created xsi:type="dcterms:W3CDTF">2023-04-10T09:30:00Z</dcterms:created>
  <dcterms:modified xsi:type="dcterms:W3CDTF">2023-04-10T09:36:00Z</dcterms:modified>
</cp:coreProperties>
</file>